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89" w:rsidRDefault="00E35A89" w:rsidP="00E35A89">
      <w:pPr>
        <w:spacing w:line="540" w:lineRule="exact"/>
        <w:rPr>
          <w:rFonts w:ascii="黑体" w:eastAsia="黑体" w:hAnsi="仿宋" w:cs="仿宋"/>
          <w:szCs w:val="28"/>
        </w:rPr>
      </w:pPr>
      <w:r>
        <w:rPr>
          <w:rFonts w:ascii="黑体" w:eastAsia="黑体" w:hAnsi="仿宋" w:cs="仿宋" w:hint="eastAsia"/>
          <w:szCs w:val="28"/>
        </w:rPr>
        <w:t>附件5</w:t>
      </w:r>
    </w:p>
    <w:p w:rsidR="00E35A89" w:rsidRDefault="00E35A89" w:rsidP="00E35A89">
      <w:pPr>
        <w:spacing w:line="80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河南省通信企业（建设）诚信评价标准及评分表</w:t>
      </w:r>
    </w:p>
    <w:p w:rsidR="00E35A89" w:rsidRDefault="00E35A89" w:rsidP="00E35A89">
      <w:pPr>
        <w:spacing w:line="400" w:lineRule="exact"/>
        <w:jc w:val="center"/>
        <w:rPr>
          <w:rFonts w:ascii="方正小标宋简体" w:eastAsia="方正小标宋简体" w:hAnsi="仿宋" w:cs="仿宋"/>
          <w:sz w:val="44"/>
          <w:szCs w:val="44"/>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6"/>
        <w:gridCol w:w="1422"/>
        <w:gridCol w:w="5372"/>
        <w:gridCol w:w="1264"/>
        <w:gridCol w:w="1315"/>
        <w:gridCol w:w="1213"/>
        <w:gridCol w:w="1264"/>
        <w:gridCol w:w="912"/>
      </w:tblGrid>
      <w:tr w:rsidR="00E35A89" w:rsidTr="004F43D5">
        <w:trPr>
          <w:trHeight w:val="800"/>
        </w:trPr>
        <w:tc>
          <w:tcPr>
            <w:tcW w:w="1406" w:type="dxa"/>
            <w:shd w:val="clear" w:color="auto" w:fill="auto"/>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评价维度</w:t>
            </w:r>
          </w:p>
        </w:tc>
        <w:tc>
          <w:tcPr>
            <w:tcW w:w="1422" w:type="dxa"/>
            <w:shd w:val="clear" w:color="auto" w:fill="auto"/>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基本指标</w:t>
            </w:r>
          </w:p>
        </w:tc>
        <w:tc>
          <w:tcPr>
            <w:tcW w:w="5372" w:type="dxa"/>
            <w:shd w:val="clear" w:color="auto" w:fill="auto"/>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子项指标/说明</w:t>
            </w:r>
          </w:p>
        </w:tc>
        <w:tc>
          <w:tcPr>
            <w:tcW w:w="1264" w:type="dxa"/>
            <w:shd w:val="clear" w:color="auto" w:fill="auto"/>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分值</w:t>
            </w:r>
          </w:p>
        </w:tc>
        <w:tc>
          <w:tcPr>
            <w:tcW w:w="1315" w:type="dxa"/>
            <w:shd w:val="clear" w:color="auto" w:fill="auto"/>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单位自评</w:t>
            </w:r>
          </w:p>
        </w:tc>
        <w:tc>
          <w:tcPr>
            <w:tcW w:w="1213" w:type="dxa"/>
            <w:shd w:val="clear" w:color="auto" w:fill="auto"/>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初评分数</w:t>
            </w:r>
          </w:p>
        </w:tc>
        <w:tc>
          <w:tcPr>
            <w:tcW w:w="1264" w:type="dxa"/>
            <w:shd w:val="clear" w:color="auto" w:fill="auto"/>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核实分数</w:t>
            </w:r>
          </w:p>
        </w:tc>
        <w:tc>
          <w:tcPr>
            <w:tcW w:w="912" w:type="dxa"/>
            <w:shd w:val="clear" w:color="auto" w:fill="auto"/>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备注</w:t>
            </w:r>
          </w:p>
        </w:tc>
      </w:tr>
      <w:tr w:rsidR="00E35A89" w:rsidTr="00D24355">
        <w:trPr>
          <w:trHeight w:val="600"/>
        </w:trPr>
        <w:tc>
          <w:tcPr>
            <w:tcW w:w="1406" w:type="dxa"/>
            <w:vMerge w:val="restart"/>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1、经营能力（40分）</w:t>
            </w:r>
          </w:p>
        </w:tc>
        <w:tc>
          <w:tcPr>
            <w:tcW w:w="1422" w:type="dxa"/>
            <w:vMerge w:val="restart"/>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1.1</w:t>
            </w:r>
            <w:r>
              <w:rPr>
                <w:rFonts w:ascii="宋体" w:eastAsia="宋体" w:hAnsi="宋体" w:hint="eastAsia"/>
                <w:color w:val="000000"/>
                <w:kern w:val="0"/>
                <w:sz w:val="24"/>
              </w:rPr>
              <w:t>、业绩</w:t>
            </w: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1.1.1</w:t>
            </w:r>
            <w:r>
              <w:rPr>
                <w:rFonts w:ascii="宋体" w:eastAsia="宋体" w:hAnsi="宋体" w:hint="eastAsia"/>
                <w:color w:val="000000"/>
                <w:kern w:val="0"/>
                <w:sz w:val="24"/>
              </w:rPr>
              <w:t>、本单位该业务类型的工程结算收入水平</w:t>
            </w:r>
            <w:r>
              <w:rPr>
                <w:rFonts w:ascii="宋体" w:eastAsia="宋体" w:hAnsi="宋体"/>
                <w:color w:val="000000"/>
                <w:kern w:val="0"/>
                <w:sz w:val="24"/>
              </w:rPr>
              <w:t>(</w:t>
            </w:r>
            <w:r>
              <w:rPr>
                <w:rFonts w:ascii="宋体" w:eastAsia="宋体" w:hAnsi="宋体" w:hint="eastAsia"/>
                <w:color w:val="000000"/>
                <w:kern w:val="0"/>
                <w:sz w:val="24"/>
              </w:rPr>
              <w:t>营业收入</w:t>
            </w:r>
            <w:r>
              <w:rPr>
                <w:rFonts w:ascii="宋体" w:eastAsia="宋体" w:hAnsi="宋体"/>
                <w:color w:val="000000"/>
                <w:kern w:val="0"/>
                <w:sz w:val="24"/>
              </w:rPr>
              <w:t>)</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912" w:type="dxa"/>
            <w:vMerge w:val="restart"/>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说明1</w:t>
            </w:r>
          </w:p>
        </w:tc>
      </w:tr>
      <w:tr w:rsidR="00E35A89" w:rsidTr="00D24355">
        <w:trPr>
          <w:trHeight w:val="60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1.1.2</w:t>
            </w:r>
            <w:r>
              <w:rPr>
                <w:rFonts w:ascii="宋体" w:eastAsia="宋体" w:hAnsi="宋体" w:hint="eastAsia"/>
                <w:color w:val="000000"/>
                <w:kern w:val="0"/>
                <w:sz w:val="24"/>
              </w:rPr>
              <w:t>、本单位该业务类型的工程利润水平</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60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1.1.3</w:t>
            </w:r>
            <w:r>
              <w:rPr>
                <w:rFonts w:ascii="宋体" w:eastAsia="宋体" w:hAnsi="宋体" w:hint="eastAsia"/>
                <w:color w:val="000000"/>
                <w:kern w:val="0"/>
                <w:sz w:val="24"/>
              </w:rPr>
              <w:t>、本单位净资产增长率水平</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60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1.1.4</w:t>
            </w:r>
            <w:r>
              <w:rPr>
                <w:rFonts w:ascii="宋体" w:eastAsia="宋体" w:hAnsi="宋体" w:hint="eastAsia"/>
                <w:color w:val="000000"/>
                <w:kern w:val="0"/>
                <w:sz w:val="24"/>
              </w:rPr>
              <w:t>、本单位缴纳税款水平</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60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restart"/>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1.2</w:t>
            </w:r>
            <w:r>
              <w:rPr>
                <w:rFonts w:ascii="宋体" w:eastAsia="宋体" w:hAnsi="宋体" w:hint="eastAsia"/>
                <w:color w:val="000000"/>
                <w:kern w:val="0"/>
                <w:sz w:val="24"/>
              </w:rPr>
              <w:t>、人员</w:t>
            </w: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1.2.1</w:t>
            </w:r>
            <w:r>
              <w:rPr>
                <w:rFonts w:ascii="宋体" w:eastAsia="宋体" w:hAnsi="宋体" w:hint="eastAsia"/>
                <w:color w:val="000000"/>
                <w:kern w:val="0"/>
                <w:sz w:val="24"/>
              </w:rPr>
              <w:t>、本单位从业人员人数水平</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60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1.2.2</w:t>
            </w:r>
            <w:r>
              <w:rPr>
                <w:rFonts w:ascii="宋体" w:eastAsia="宋体" w:hAnsi="宋体" w:hint="eastAsia"/>
                <w:color w:val="000000"/>
                <w:kern w:val="0"/>
                <w:sz w:val="24"/>
              </w:rPr>
              <w:t>、本单位中级职称及以上人员人数水平</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60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1.2.3</w:t>
            </w:r>
            <w:r>
              <w:rPr>
                <w:rFonts w:ascii="宋体" w:eastAsia="宋体" w:hAnsi="宋体" w:hint="eastAsia"/>
                <w:color w:val="000000"/>
                <w:kern w:val="0"/>
                <w:sz w:val="24"/>
              </w:rPr>
              <w:t>、本单位该业务类型执业人员人数水平</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60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1.3</w:t>
            </w:r>
            <w:r>
              <w:rPr>
                <w:rFonts w:ascii="宋体" w:eastAsia="宋体" w:hAnsi="宋体" w:hint="eastAsia"/>
                <w:color w:val="000000"/>
                <w:kern w:val="0"/>
                <w:sz w:val="24"/>
              </w:rPr>
              <w:t>、装备</w:t>
            </w: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1.3.1</w:t>
            </w:r>
            <w:r>
              <w:rPr>
                <w:rFonts w:ascii="宋体" w:eastAsia="宋体" w:hAnsi="宋体" w:hint="eastAsia"/>
                <w:color w:val="000000"/>
                <w:kern w:val="0"/>
                <w:sz w:val="24"/>
              </w:rPr>
              <w:t>、本单位机械及办公设备装备情况水平</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960"/>
        </w:trPr>
        <w:tc>
          <w:tcPr>
            <w:tcW w:w="1406" w:type="dxa"/>
            <w:vMerge w:val="restart"/>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lastRenderedPageBreak/>
              <w:t>2、管理能力（30分）</w:t>
            </w:r>
          </w:p>
        </w:tc>
        <w:tc>
          <w:tcPr>
            <w:tcW w:w="1422" w:type="dxa"/>
            <w:vMerge w:val="restart"/>
            <w:vAlign w:val="center"/>
          </w:tcPr>
          <w:p w:rsidR="00E35A89" w:rsidRDefault="00E35A89" w:rsidP="00D24355">
            <w:pPr>
              <w:widowControl/>
              <w:spacing w:line="280" w:lineRule="exact"/>
              <w:jc w:val="center"/>
              <w:rPr>
                <w:rFonts w:ascii="宋体" w:eastAsia="宋体" w:hAnsi="宋体"/>
                <w:color w:val="000000"/>
                <w:kern w:val="0"/>
                <w:sz w:val="24"/>
              </w:rPr>
            </w:pPr>
            <w:r>
              <w:rPr>
                <w:rFonts w:ascii="宋体" w:eastAsia="宋体" w:hAnsi="宋体"/>
                <w:color w:val="000000"/>
                <w:kern w:val="0"/>
                <w:sz w:val="24"/>
              </w:rPr>
              <w:t>2.1</w:t>
            </w:r>
            <w:r>
              <w:rPr>
                <w:rFonts w:ascii="宋体" w:eastAsia="宋体" w:hAnsi="宋体" w:hint="eastAsia"/>
                <w:color w:val="000000"/>
                <w:kern w:val="0"/>
                <w:sz w:val="24"/>
              </w:rPr>
              <w:t>、项目管理水平</w:t>
            </w: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2.1.1</w:t>
            </w:r>
            <w:r>
              <w:rPr>
                <w:rFonts w:ascii="宋体" w:eastAsia="宋体" w:hAnsi="宋体" w:hint="eastAsia"/>
                <w:color w:val="000000"/>
                <w:kern w:val="0"/>
                <w:sz w:val="24"/>
              </w:rPr>
              <w:t>、各项工程管理制度健全，工序管理严格，能平稳处理日常业务流程，及时响应客户服务需求。</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restart"/>
            <w:vAlign w:val="center"/>
          </w:tcPr>
          <w:p w:rsidR="00E35A89" w:rsidRDefault="00E35A89" w:rsidP="00D24355">
            <w:pPr>
              <w:widowControl/>
              <w:spacing w:line="280" w:lineRule="exact"/>
              <w:jc w:val="left"/>
              <w:rPr>
                <w:rFonts w:ascii="宋体" w:eastAsia="宋体" w:hAnsi="宋体" w:cs="宋体"/>
                <w:color w:val="000000"/>
                <w:kern w:val="0"/>
                <w:sz w:val="24"/>
              </w:rPr>
            </w:pPr>
            <w:r>
              <w:rPr>
                <w:rFonts w:ascii="宋体" w:eastAsia="宋体" w:hAnsi="宋体" w:cs="宋体" w:hint="eastAsia"/>
                <w:color w:val="000000"/>
                <w:kern w:val="0"/>
                <w:sz w:val="24"/>
              </w:rPr>
              <w:t>说明2</w:t>
            </w:r>
          </w:p>
        </w:tc>
      </w:tr>
      <w:tr w:rsidR="00E35A89" w:rsidTr="00D24355">
        <w:trPr>
          <w:trHeight w:val="96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2.1.2</w:t>
            </w:r>
            <w:r>
              <w:rPr>
                <w:rFonts w:ascii="宋体" w:eastAsia="宋体" w:hAnsi="宋体" w:hint="eastAsia"/>
                <w:color w:val="000000"/>
                <w:kern w:val="0"/>
                <w:sz w:val="24"/>
              </w:rPr>
              <w:t>、各项教育培训制度健全，能积极组织员工参加多种形式的培训及教育学习。</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r>
      <w:tr w:rsidR="00E35A89" w:rsidTr="00D24355">
        <w:trPr>
          <w:trHeight w:val="96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2.1.3</w:t>
            </w:r>
            <w:r>
              <w:rPr>
                <w:rFonts w:ascii="宋体" w:eastAsia="宋体" w:hAnsi="宋体" w:hint="eastAsia"/>
                <w:color w:val="000000"/>
                <w:kern w:val="0"/>
                <w:sz w:val="24"/>
              </w:rPr>
              <w:t>、有与承接业务量相适合的办公场所、仓库，能配备充足的工程车辆、仪器仪表和办公设备。</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r>
      <w:tr w:rsidR="00E35A89" w:rsidTr="00D24355">
        <w:trPr>
          <w:trHeight w:val="96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restart"/>
            <w:vAlign w:val="center"/>
          </w:tcPr>
          <w:p w:rsidR="00E35A89" w:rsidRDefault="00E35A89" w:rsidP="00D24355">
            <w:pPr>
              <w:widowControl/>
              <w:spacing w:line="280" w:lineRule="exact"/>
              <w:jc w:val="center"/>
              <w:rPr>
                <w:rFonts w:ascii="宋体" w:eastAsia="宋体" w:hAnsi="宋体"/>
                <w:color w:val="000000"/>
                <w:kern w:val="0"/>
                <w:sz w:val="24"/>
              </w:rPr>
            </w:pPr>
            <w:r>
              <w:rPr>
                <w:rFonts w:ascii="宋体" w:eastAsia="宋体" w:hAnsi="宋体"/>
                <w:color w:val="000000"/>
                <w:kern w:val="0"/>
                <w:sz w:val="24"/>
              </w:rPr>
              <w:t>2.2</w:t>
            </w:r>
            <w:r>
              <w:rPr>
                <w:rFonts w:ascii="宋体" w:eastAsia="宋体" w:hAnsi="宋体" w:hint="eastAsia"/>
                <w:color w:val="000000"/>
                <w:kern w:val="0"/>
                <w:sz w:val="24"/>
              </w:rPr>
              <w:t>、安全生产水平</w:t>
            </w: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2.2.1</w:t>
            </w:r>
            <w:r>
              <w:rPr>
                <w:rFonts w:ascii="宋体" w:eastAsia="宋体" w:hAnsi="宋体" w:hint="eastAsia"/>
                <w:color w:val="000000"/>
                <w:kern w:val="0"/>
                <w:sz w:val="24"/>
              </w:rPr>
              <w:t>、各项安全生产责任制度健全，制定完备的安全生产规章制度和操作规程，安全资金投入符合安全生产要求。</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r>
      <w:tr w:rsidR="00E35A89" w:rsidTr="00D24355">
        <w:trPr>
          <w:trHeight w:val="96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2.2.2</w:t>
            </w:r>
            <w:r>
              <w:rPr>
                <w:rFonts w:ascii="宋体" w:eastAsia="宋体" w:hAnsi="宋体" w:hint="eastAsia"/>
                <w:color w:val="000000"/>
                <w:kern w:val="0"/>
                <w:sz w:val="24"/>
              </w:rPr>
              <w:t>、对工程进行定期检查，做好安全检查记录。能根据工程的特点组织制定安全措施，消除事故隐患。</w:t>
            </w:r>
            <w:r>
              <w:rPr>
                <w:rFonts w:ascii="宋体" w:eastAsia="宋体" w:hAnsi="宋体"/>
                <w:color w:val="000000"/>
                <w:kern w:val="0"/>
                <w:sz w:val="24"/>
              </w:rPr>
              <w:t xml:space="preserve"> </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r>
      <w:tr w:rsidR="00E35A89" w:rsidTr="00D24355">
        <w:trPr>
          <w:trHeight w:val="96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2.2.3</w:t>
            </w:r>
            <w:r>
              <w:rPr>
                <w:rFonts w:ascii="宋体" w:eastAsia="宋体" w:hAnsi="宋体" w:hint="eastAsia"/>
                <w:color w:val="000000"/>
                <w:kern w:val="0"/>
                <w:sz w:val="24"/>
              </w:rPr>
              <w:t>、设置安全生产管理机构，专职管理人员配备齐全，所有员工有组织进行日常安全生产学习。</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r>
      <w:tr w:rsidR="00E35A89" w:rsidTr="00D24355">
        <w:trPr>
          <w:trHeight w:val="762"/>
        </w:trPr>
        <w:tc>
          <w:tcPr>
            <w:tcW w:w="1406" w:type="dxa"/>
            <w:vMerge w:val="restart"/>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3、企业资信（30分）</w:t>
            </w:r>
          </w:p>
        </w:tc>
        <w:tc>
          <w:tcPr>
            <w:tcW w:w="1422" w:type="dxa"/>
            <w:vMerge w:val="restart"/>
            <w:vAlign w:val="center"/>
          </w:tcPr>
          <w:p w:rsidR="00E35A89" w:rsidRDefault="00E35A89" w:rsidP="00D24355">
            <w:pPr>
              <w:widowControl/>
              <w:spacing w:line="280" w:lineRule="exact"/>
              <w:jc w:val="center"/>
              <w:rPr>
                <w:rFonts w:ascii="宋体" w:eastAsia="宋体" w:hAnsi="宋体"/>
                <w:color w:val="000000"/>
                <w:kern w:val="0"/>
                <w:sz w:val="24"/>
              </w:rPr>
            </w:pPr>
            <w:r>
              <w:rPr>
                <w:rFonts w:ascii="宋体" w:eastAsia="宋体" w:hAnsi="宋体"/>
                <w:color w:val="000000"/>
                <w:kern w:val="0"/>
                <w:sz w:val="24"/>
              </w:rPr>
              <w:t>3.1</w:t>
            </w:r>
            <w:r>
              <w:rPr>
                <w:rFonts w:ascii="宋体" w:eastAsia="宋体" w:hAnsi="宋体" w:hint="eastAsia"/>
                <w:color w:val="000000"/>
                <w:kern w:val="0"/>
                <w:sz w:val="24"/>
              </w:rPr>
              <w:t>、劳动保障制度</w:t>
            </w: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3.1.1</w:t>
            </w:r>
            <w:r>
              <w:rPr>
                <w:rFonts w:ascii="宋体" w:eastAsia="宋体" w:hAnsi="宋体" w:hint="eastAsia"/>
                <w:color w:val="000000"/>
                <w:kern w:val="0"/>
                <w:sz w:val="24"/>
              </w:rPr>
              <w:t>、严格遵守劳动保障法律法规，规范执行劳动合同，能切实保障员工的合法权益。</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3分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restart"/>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说明2</w:t>
            </w:r>
          </w:p>
        </w:tc>
      </w:tr>
      <w:tr w:rsidR="00E35A89" w:rsidTr="00D24355">
        <w:trPr>
          <w:trHeight w:val="762"/>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3.1.2</w:t>
            </w:r>
            <w:r>
              <w:rPr>
                <w:rFonts w:ascii="宋体" w:eastAsia="宋体" w:hAnsi="宋体" w:hint="eastAsia"/>
                <w:color w:val="000000"/>
                <w:kern w:val="0"/>
                <w:sz w:val="24"/>
              </w:rPr>
              <w:t>、按时足额发放工资，无克扣或无故拖欠员工工资的行为。</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3分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762"/>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3.1.3</w:t>
            </w:r>
            <w:r>
              <w:rPr>
                <w:rFonts w:ascii="宋体" w:eastAsia="宋体" w:hAnsi="宋体" w:hint="eastAsia"/>
                <w:color w:val="000000"/>
                <w:kern w:val="0"/>
                <w:sz w:val="24"/>
              </w:rPr>
              <w:t>、依法为员工办理全面的社会保险，按时足额缴纳各项社会保险费用。</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3分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762"/>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restart"/>
            <w:vAlign w:val="center"/>
          </w:tcPr>
          <w:p w:rsidR="00E35A89" w:rsidRDefault="00E35A89" w:rsidP="00D24355">
            <w:pPr>
              <w:widowControl/>
              <w:spacing w:line="280" w:lineRule="exact"/>
              <w:jc w:val="center"/>
              <w:rPr>
                <w:rFonts w:ascii="宋体" w:eastAsia="宋体" w:hAnsi="宋体"/>
                <w:color w:val="000000"/>
                <w:kern w:val="0"/>
                <w:sz w:val="24"/>
              </w:rPr>
            </w:pPr>
            <w:r>
              <w:rPr>
                <w:rFonts w:ascii="宋体" w:eastAsia="宋体" w:hAnsi="宋体"/>
                <w:color w:val="000000"/>
                <w:kern w:val="0"/>
                <w:sz w:val="24"/>
              </w:rPr>
              <w:t>3.2</w:t>
            </w:r>
            <w:r>
              <w:rPr>
                <w:rFonts w:ascii="宋体" w:eastAsia="宋体" w:hAnsi="宋体" w:hint="eastAsia"/>
                <w:color w:val="000000"/>
                <w:kern w:val="0"/>
                <w:sz w:val="24"/>
              </w:rPr>
              <w:t>、财务管理制度</w:t>
            </w: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3.2.1</w:t>
            </w:r>
            <w:r>
              <w:rPr>
                <w:rFonts w:ascii="宋体" w:eastAsia="宋体" w:hAnsi="宋体" w:hint="eastAsia"/>
                <w:color w:val="000000"/>
                <w:kern w:val="0"/>
                <w:sz w:val="24"/>
              </w:rPr>
              <w:t>、单独设立会计机构、会计机构负责人具备任职资格。</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3分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367"/>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3.2.2</w:t>
            </w:r>
            <w:r>
              <w:rPr>
                <w:rFonts w:ascii="宋体" w:eastAsia="宋体" w:hAnsi="宋体" w:hint="eastAsia"/>
                <w:color w:val="000000"/>
                <w:kern w:val="0"/>
                <w:sz w:val="24"/>
              </w:rPr>
              <w:t>、会计人员都具备会计从业资格。</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2分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762"/>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3.2.3</w:t>
            </w:r>
            <w:r>
              <w:rPr>
                <w:rFonts w:ascii="宋体" w:eastAsia="宋体" w:hAnsi="宋体" w:hint="eastAsia"/>
                <w:color w:val="000000"/>
                <w:kern w:val="0"/>
                <w:sz w:val="24"/>
              </w:rPr>
              <w:t>、企业内部会计控制制度健全，财务数据真实可信，符合规范。</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2分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388"/>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restart"/>
            <w:vAlign w:val="center"/>
          </w:tcPr>
          <w:p w:rsidR="00E35A89" w:rsidRDefault="00E35A89" w:rsidP="00D24355">
            <w:pPr>
              <w:widowControl/>
              <w:spacing w:line="280" w:lineRule="exact"/>
              <w:jc w:val="center"/>
              <w:rPr>
                <w:rFonts w:ascii="宋体" w:eastAsia="宋体" w:hAnsi="宋体"/>
                <w:color w:val="000000"/>
                <w:kern w:val="0"/>
                <w:sz w:val="24"/>
              </w:rPr>
            </w:pPr>
            <w:r>
              <w:rPr>
                <w:rFonts w:ascii="宋体" w:eastAsia="宋体" w:hAnsi="宋体"/>
                <w:color w:val="000000"/>
                <w:kern w:val="0"/>
                <w:sz w:val="24"/>
              </w:rPr>
              <w:t>3.3</w:t>
            </w:r>
            <w:r>
              <w:rPr>
                <w:rFonts w:ascii="宋体" w:eastAsia="宋体" w:hAnsi="宋体" w:hint="eastAsia"/>
                <w:color w:val="000000"/>
                <w:kern w:val="0"/>
                <w:sz w:val="24"/>
              </w:rPr>
              <w:t>、税务管理制度</w:t>
            </w: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3.3.1</w:t>
            </w:r>
            <w:r>
              <w:rPr>
                <w:rFonts w:ascii="宋体" w:eastAsia="宋体" w:hAnsi="宋体" w:hint="eastAsia"/>
                <w:color w:val="000000"/>
                <w:kern w:val="0"/>
                <w:sz w:val="24"/>
              </w:rPr>
              <w:t>、无偷、逃、骗、抗税行为。</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3分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762"/>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3.3.2</w:t>
            </w:r>
            <w:r>
              <w:rPr>
                <w:rFonts w:ascii="宋体" w:eastAsia="宋体" w:hAnsi="宋体" w:hint="eastAsia"/>
                <w:color w:val="000000"/>
                <w:kern w:val="0"/>
                <w:sz w:val="24"/>
              </w:rPr>
              <w:t>、财务核算健全，自觉接受税务机关监督，及时报送报表。</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2分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762"/>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3.3.3</w:t>
            </w:r>
            <w:r>
              <w:rPr>
                <w:rFonts w:ascii="宋体" w:eastAsia="宋体" w:hAnsi="宋体" w:hint="eastAsia"/>
                <w:color w:val="000000"/>
                <w:kern w:val="0"/>
                <w:sz w:val="24"/>
              </w:rPr>
              <w:t>、及时办理税务登记、税务变更和年审，按规定领购、使用和管理发票。</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2分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452"/>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restart"/>
            <w:vAlign w:val="center"/>
          </w:tcPr>
          <w:p w:rsidR="00E35A89" w:rsidRDefault="00E35A89" w:rsidP="00D24355">
            <w:pPr>
              <w:widowControl/>
              <w:spacing w:line="280" w:lineRule="exact"/>
              <w:jc w:val="center"/>
              <w:rPr>
                <w:rFonts w:ascii="宋体" w:eastAsia="宋体" w:hAnsi="宋体"/>
                <w:color w:val="000000"/>
                <w:kern w:val="0"/>
                <w:sz w:val="24"/>
              </w:rPr>
            </w:pPr>
            <w:r>
              <w:rPr>
                <w:rFonts w:ascii="宋体" w:eastAsia="宋体" w:hAnsi="宋体"/>
                <w:color w:val="000000"/>
                <w:kern w:val="0"/>
                <w:sz w:val="24"/>
              </w:rPr>
              <w:t>3.4</w:t>
            </w:r>
            <w:r>
              <w:rPr>
                <w:rFonts w:ascii="宋体" w:eastAsia="宋体" w:hAnsi="宋体" w:hint="eastAsia"/>
                <w:color w:val="000000"/>
                <w:kern w:val="0"/>
                <w:sz w:val="24"/>
              </w:rPr>
              <w:t>、贷款融资制度</w:t>
            </w: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3.4.1</w:t>
            </w:r>
            <w:r>
              <w:rPr>
                <w:rFonts w:ascii="宋体" w:eastAsia="宋体" w:hAnsi="宋体" w:hint="eastAsia"/>
                <w:color w:val="000000"/>
                <w:kern w:val="0"/>
                <w:sz w:val="24"/>
              </w:rPr>
              <w:t>、无金融机构贷款的不良纪录。</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3分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762"/>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3.4.2</w:t>
            </w:r>
            <w:r>
              <w:rPr>
                <w:rFonts w:ascii="宋体" w:eastAsia="宋体" w:hAnsi="宋体" w:hint="eastAsia"/>
                <w:color w:val="000000"/>
                <w:kern w:val="0"/>
                <w:sz w:val="24"/>
              </w:rPr>
              <w:t>、无违反借款合同约定用途，使用贷款的不良记录。</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2分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342"/>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3.4.3</w:t>
            </w:r>
            <w:r>
              <w:rPr>
                <w:rFonts w:ascii="宋体" w:eastAsia="宋体" w:hAnsi="宋体" w:hint="eastAsia"/>
                <w:color w:val="000000"/>
                <w:kern w:val="0"/>
                <w:sz w:val="24"/>
              </w:rPr>
              <w:t>、无违反银行结算管理规定的不良纪录。</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2分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Merge/>
            <w:vAlign w:val="center"/>
          </w:tcPr>
          <w:p w:rsidR="00E35A89" w:rsidRDefault="00E35A89" w:rsidP="00D24355">
            <w:pPr>
              <w:widowControl/>
              <w:spacing w:line="280" w:lineRule="exact"/>
              <w:jc w:val="left"/>
              <w:rPr>
                <w:rFonts w:ascii="宋体" w:eastAsia="宋体" w:hAnsi="宋体" w:cs="宋体"/>
                <w:kern w:val="0"/>
                <w:sz w:val="24"/>
              </w:rPr>
            </w:pPr>
          </w:p>
        </w:tc>
      </w:tr>
      <w:tr w:rsidR="00E35A89" w:rsidTr="00D24355">
        <w:trPr>
          <w:trHeight w:val="799"/>
        </w:trPr>
        <w:tc>
          <w:tcPr>
            <w:tcW w:w="1406" w:type="dxa"/>
            <w:vMerge w:val="restart"/>
            <w:vAlign w:val="center"/>
          </w:tcPr>
          <w:p w:rsidR="00E35A89" w:rsidRDefault="00E35A89" w:rsidP="00D24355">
            <w:pPr>
              <w:widowControl/>
              <w:spacing w:line="280" w:lineRule="exact"/>
              <w:rPr>
                <w:rFonts w:ascii="宋体" w:eastAsia="宋体" w:hAnsi="宋体" w:cs="宋体"/>
                <w:b/>
                <w:bCs/>
                <w:spacing w:val="-4"/>
                <w:kern w:val="0"/>
                <w:sz w:val="24"/>
              </w:rPr>
            </w:pPr>
            <w:r>
              <w:rPr>
                <w:rFonts w:ascii="宋体" w:eastAsia="宋体" w:hAnsi="宋体" w:cs="宋体" w:hint="eastAsia"/>
                <w:b/>
                <w:bCs/>
                <w:spacing w:val="-4"/>
                <w:kern w:val="0"/>
                <w:sz w:val="24"/>
              </w:rPr>
              <w:t>4、诚信记录</w:t>
            </w:r>
          </w:p>
        </w:tc>
        <w:tc>
          <w:tcPr>
            <w:tcW w:w="1422" w:type="dxa"/>
            <w:vMerge w:val="restart"/>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4.1、通信建设领域不良记录（扣分项）</w:t>
            </w: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4.1.1</w:t>
            </w:r>
            <w:r>
              <w:rPr>
                <w:rFonts w:ascii="宋体" w:eastAsia="宋体" w:hAnsi="宋体" w:hint="eastAsia"/>
                <w:color w:val="000000"/>
                <w:kern w:val="0"/>
                <w:sz w:val="24"/>
              </w:rPr>
              <w:t>、违反工程建设有关法律、法规、规章或其他规范性文件。</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912" w:type="dxa"/>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 xml:space="preserve">　</w:t>
            </w:r>
          </w:p>
        </w:tc>
      </w:tr>
      <w:tr w:rsidR="00E35A89" w:rsidTr="00D24355">
        <w:trPr>
          <w:trHeight w:val="799"/>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4.1.2</w:t>
            </w:r>
            <w:r>
              <w:rPr>
                <w:rFonts w:ascii="宋体" w:eastAsia="宋体" w:hAnsi="宋体" w:hint="eastAsia"/>
                <w:color w:val="000000"/>
                <w:kern w:val="0"/>
                <w:sz w:val="24"/>
              </w:rPr>
              <w:t>、违反通信工程建设强制性标准的行为，在抗震、防雷、接地等方面存在质量问题或隐患。</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-1分/次</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912" w:type="dxa"/>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 xml:space="preserve">　</w:t>
            </w:r>
          </w:p>
        </w:tc>
      </w:tr>
      <w:tr w:rsidR="00E35A89" w:rsidTr="00D24355">
        <w:trPr>
          <w:trHeight w:val="799"/>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4.1.3</w:t>
            </w:r>
            <w:r>
              <w:rPr>
                <w:rFonts w:ascii="宋体" w:eastAsia="宋体" w:hAnsi="宋体" w:hint="eastAsia"/>
                <w:color w:val="000000"/>
                <w:kern w:val="0"/>
                <w:sz w:val="24"/>
              </w:rPr>
              <w:t>、因工程质量、安全问题被行政主管部门或业主通报批评的。</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-3分/次</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912" w:type="dxa"/>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 xml:space="preserve">　</w:t>
            </w:r>
          </w:p>
        </w:tc>
      </w:tr>
      <w:tr w:rsidR="00E35A89" w:rsidTr="00D24355">
        <w:trPr>
          <w:trHeight w:val="573"/>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4.1.4</w:t>
            </w:r>
            <w:r>
              <w:rPr>
                <w:rFonts w:ascii="宋体" w:eastAsia="宋体" w:hAnsi="宋体" w:hint="eastAsia"/>
                <w:color w:val="000000"/>
                <w:kern w:val="0"/>
                <w:sz w:val="24"/>
              </w:rPr>
              <w:t>、无故不履行合同、不兑现承诺的。</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-3分/次</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912" w:type="dxa"/>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 xml:space="preserve">　</w:t>
            </w:r>
          </w:p>
        </w:tc>
      </w:tr>
      <w:tr w:rsidR="00E35A89" w:rsidTr="00D24355">
        <w:trPr>
          <w:trHeight w:val="55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4.1.5</w:t>
            </w:r>
            <w:r>
              <w:rPr>
                <w:rFonts w:ascii="宋体" w:eastAsia="宋体" w:hAnsi="宋体" w:hint="eastAsia"/>
                <w:color w:val="000000"/>
                <w:kern w:val="0"/>
                <w:sz w:val="24"/>
              </w:rPr>
              <w:t>、拖欠工程款或欠薪的行为。</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-5分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912" w:type="dxa"/>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 xml:space="preserve">　</w:t>
            </w:r>
          </w:p>
        </w:tc>
      </w:tr>
      <w:tr w:rsidR="00E35A89" w:rsidTr="00D24355">
        <w:trPr>
          <w:trHeight w:val="394"/>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4.1.6</w:t>
            </w:r>
            <w:r>
              <w:rPr>
                <w:rFonts w:ascii="宋体" w:eastAsia="宋体" w:hAnsi="宋体" w:hint="eastAsia"/>
                <w:color w:val="000000"/>
                <w:kern w:val="0"/>
                <w:sz w:val="24"/>
              </w:rPr>
              <w:t>、未按相关规定，及时报送工程业绩的；</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-3分</w:t>
            </w:r>
          </w:p>
        </w:tc>
        <w:tc>
          <w:tcPr>
            <w:tcW w:w="1315"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扣(  ）分</w:t>
            </w:r>
          </w:p>
        </w:tc>
        <w:tc>
          <w:tcPr>
            <w:tcW w:w="912" w:type="dxa"/>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 xml:space="preserve">　</w:t>
            </w:r>
          </w:p>
        </w:tc>
      </w:tr>
      <w:tr w:rsidR="00E35A89" w:rsidTr="00D24355">
        <w:trPr>
          <w:trHeight w:val="2700"/>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restart"/>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4.2、通信建设领域优良记录（加分项）</w:t>
            </w:r>
          </w:p>
        </w:tc>
        <w:tc>
          <w:tcPr>
            <w:tcW w:w="5372" w:type="dxa"/>
            <w:vAlign w:val="center"/>
          </w:tcPr>
          <w:p w:rsidR="00E35A89" w:rsidRDefault="00E35A89" w:rsidP="00D24355">
            <w:pPr>
              <w:widowControl/>
              <w:spacing w:line="280" w:lineRule="exact"/>
              <w:rPr>
                <w:rFonts w:ascii="宋体" w:eastAsia="宋体" w:hAnsi="宋体" w:cs="宋体"/>
                <w:color w:val="000000"/>
                <w:kern w:val="0"/>
                <w:sz w:val="24"/>
              </w:rPr>
            </w:pPr>
            <w:r>
              <w:rPr>
                <w:rFonts w:ascii="宋体" w:eastAsia="宋体" w:hAnsi="宋体" w:cs="宋体" w:hint="eastAsia"/>
                <w:color w:val="000000"/>
                <w:kern w:val="0"/>
                <w:sz w:val="24"/>
              </w:rPr>
              <w:t>4.2.1、各种奖励、荣誉及称号：在考核期内单位获得相关主管部门、行业协会、社会团体颁发的各种奖励、荣誉及称号，包括参与各种社会活动获得的称号，如慈善捐款、鼓励创业、为大学生提供实习机会等社会责任、诚信类活动称号。</w:t>
            </w:r>
            <w:r>
              <w:rPr>
                <w:rFonts w:ascii="宋体" w:eastAsia="宋体" w:hAnsi="宋体" w:cs="宋体" w:hint="eastAsia"/>
                <w:color w:val="000000"/>
                <w:kern w:val="0"/>
                <w:sz w:val="24"/>
              </w:rPr>
              <w:br/>
              <w:t>A、国际/国家级/部级表彰，4分/项；</w:t>
            </w:r>
            <w:r>
              <w:rPr>
                <w:rFonts w:ascii="宋体" w:eastAsia="宋体" w:hAnsi="宋体" w:cs="宋体" w:hint="eastAsia"/>
                <w:color w:val="000000"/>
                <w:kern w:val="0"/>
                <w:sz w:val="24"/>
              </w:rPr>
              <w:br/>
              <w:t>B、省级表彰，3分/项；</w:t>
            </w:r>
            <w:r>
              <w:rPr>
                <w:rFonts w:ascii="宋体" w:eastAsia="宋体" w:hAnsi="宋体" w:cs="宋体" w:hint="eastAsia"/>
                <w:color w:val="000000"/>
                <w:kern w:val="0"/>
                <w:sz w:val="24"/>
              </w:rPr>
              <w:br/>
              <w:t>C、县市级表彰，2分/项；</w:t>
            </w:r>
            <w:r>
              <w:rPr>
                <w:rFonts w:ascii="宋体" w:eastAsia="宋体" w:hAnsi="宋体" w:cs="宋体" w:hint="eastAsia"/>
                <w:color w:val="000000"/>
                <w:kern w:val="0"/>
                <w:sz w:val="24"/>
              </w:rPr>
              <w:br/>
              <w:t>D、其他社会团体的表彰，1分/项。</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最高 </w:t>
            </w:r>
          </w:p>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+8分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A（   ）项</w:t>
            </w:r>
            <w:r>
              <w:rPr>
                <w:rFonts w:ascii="宋体" w:eastAsia="宋体" w:hAnsi="宋体" w:cs="宋体" w:hint="eastAsia"/>
                <w:color w:val="000000"/>
                <w:kern w:val="0"/>
                <w:sz w:val="24"/>
              </w:rPr>
              <w:br/>
              <w:t>B（   ）项</w:t>
            </w:r>
            <w:r>
              <w:rPr>
                <w:rFonts w:ascii="宋体" w:eastAsia="宋体" w:hAnsi="宋体" w:cs="宋体" w:hint="eastAsia"/>
                <w:color w:val="000000"/>
                <w:kern w:val="0"/>
                <w:sz w:val="24"/>
              </w:rPr>
              <w:br/>
              <w:t>C（   ）项</w:t>
            </w:r>
            <w:r>
              <w:rPr>
                <w:rFonts w:ascii="宋体" w:eastAsia="宋体" w:hAnsi="宋体" w:cs="宋体" w:hint="eastAsia"/>
                <w:color w:val="000000"/>
                <w:kern w:val="0"/>
                <w:sz w:val="24"/>
              </w:rPr>
              <w:br/>
              <w:t>D（   ）项</w:t>
            </w:r>
            <w:r>
              <w:rPr>
                <w:rFonts w:ascii="宋体" w:eastAsia="宋体" w:hAnsi="宋体" w:cs="宋体" w:hint="eastAsia"/>
                <w:color w:val="000000"/>
                <w:kern w:val="0"/>
                <w:sz w:val="24"/>
              </w:rPr>
              <w:br/>
              <w:t xml:space="preserve"> （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912" w:type="dxa"/>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说明3</w:t>
            </w:r>
          </w:p>
        </w:tc>
      </w:tr>
      <w:tr w:rsidR="00E35A89" w:rsidTr="00D24355">
        <w:trPr>
          <w:trHeight w:val="1365"/>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s="宋体"/>
                <w:color w:val="000000"/>
                <w:kern w:val="0"/>
                <w:sz w:val="24"/>
              </w:rPr>
            </w:pPr>
            <w:r>
              <w:rPr>
                <w:rFonts w:ascii="宋体" w:eastAsia="宋体" w:hAnsi="宋体" w:cs="宋体" w:hint="eastAsia"/>
                <w:color w:val="000000"/>
                <w:kern w:val="0"/>
                <w:sz w:val="24"/>
              </w:rPr>
              <w:t>4.2.2、企业创新/研发成果：在考核期内单位经过自身努力获得的各种自有专利等各种自有知识产权，并能通过创新/研发成果更好地为客户、用户提供优质服务，保障用户/客户的利益，提高企业的诚信经营的能力。</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最高</w:t>
            </w:r>
          </w:p>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+6分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912" w:type="dxa"/>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说明3</w:t>
            </w:r>
          </w:p>
        </w:tc>
      </w:tr>
      <w:tr w:rsidR="00E35A89" w:rsidTr="00D24355">
        <w:trPr>
          <w:trHeight w:val="799"/>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4.2.3</w:t>
            </w:r>
            <w:r>
              <w:rPr>
                <w:rFonts w:ascii="宋体" w:eastAsia="宋体" w:hAnsi="宋体" w:hint="eastAsia"/>
                <w:color w:val="000000"/>
                <w:kern w:val="0"/>
                <w:sz w:val="24"/>
              </w:rPr>
              <w:t>、积极开拓省外市场，且年承接工程合同造价达到</w:t>
            </w:r>
            <w:r>
              <w:rPr>
                <w:rFonts w:ascii="宋体" w:eastAsia="宋体" w:hAnsi="宋体"/>
                <w:color w:val="000000"/>
                <w:kern w:val="0"/>
                <w:sz w:val="24"/>
              </w:rPr>
              <w:t>1000</w:t>
            </w:r>
            <w:r>
              <w:rPr>
                <w:rFonts w:ascii="宋体" w:eastAsia="宋体" w:hAnsi="宋体" w:hint="eastAsia"/>
                <w:color w:val="000000"/>
                <w:kern w:val="0"/>
                <w:sz w:val="24"/>
              </w:rPr>
              <w:t>万元人民币，且无违规行为及不良行为记录的。</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+2分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912" w:type="dxa"/>
            <w:vAlign w:val="center"/>
          </w:tcPr>
          <w:p w:rsidR="00E35A89" w:rsidRDefault="00E35A89"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 xml:space="preserve">　</w:t>
            </w:r>
          </w:p>
        </w:tc>
      </w:tr>
      <w:tr w:rsidR="00E35A89" w:rsidTr="00D24355">
        <w:trPr>
          <w:trHeight w:val="799"/>
        </w:trPr>
        <w:tc>
          <w:tcPr>
            <w:tcW w:w="1406" w:type="dxa"/>
            <w:vMerge/>
            <w:vAlign w:val="center"/>
          </w:tcPr>
          <w:p w:rsidR="00E35A89" w:rsidRDefault="00E35A89" w:rsidP="00D24355">
            <w:pPr>
              <w:widowControl/>
              <w:spacing w:line="280" w:lineRule="exact"/>
              <w:jc w:val="left"/>
              <w:rPr>
                <w:rFonts w:ascii="宋体" w:eastAsia="宋体" w:hAnsi="宋体" w:cs="宋体"/>
                <w:b/>
                <w:bCs/>
                <w:kern w:val="0"/>
                <w:sz w:val="24"/>
              </w:rPr>
            </w:pPr>
          </w:p>
        </w:tc>
        <w:tc>
          <w:tcPr>
            <w:tcW w:w="1422" w:type="dxa"/>
            <w:vMerge/>
            <w:vAlign w:val="center"/>
          </w:tcPr>
          <w:p w:rsidR="00E35A89" w:rsidRDefault="00E35A89" w:rsidP="00D24355">
            <w:pPr>
              <w:widowControl/>
              <w:spacing w:line="280" w:lineRule="exact"/>
              <w:jc w:val="left"/>
              <w:rPr>
                <w:rFonts w:ascii="宋体" w:eastAsia="宋体" w:hAnsi="宋体" w:cs="宋体"/>
                <w:color w:val="000000"/>
                <w:kern w:val="0"/>
                <w:sz w:val="24"/>
              </w:rPr>
            </w:pPr>
          </w:p>
        </w:tc>
        <w:tc>
          <w:tcPr>
            <w:tcW w:w="5372" w:type="dxa"/>
            <w:vAlign w:val="center"/>
          </w:tcPr>
          <w:p w:rsidR="00E35A89" w:rsidRDefault="00E35A89" w:rsidP="00D24355">
            <w:pPr>
              <w:widowControl/>
              <w:spacing w:line="280" w:lineRule="exact"/>
              <w:rPr>
                <w:rFonts w:ascii="宋体" w:eastAsia="宋体" w:hAnsi="宋体"/>
                <w:color w:val="000000"/>
                <w:kern w:val="0"/>
                <w:sz w:val="24"/>
              </w:rPr>
            </w:pPr>
            <w:r>
              <w:rPr>
                <w:rFonts w:ascii="宋体" w:eastAsia="宋体" w:hAnsi="宋体"/>
                <w:color w:val="000000"/>
                <w:kern w:val="0"/>
                <w:sz w:val="24"/>
              </w:rPr>
              <w:t>4.2.4</w:t>
            </w:r>
            <w:r>
              <w:rPr>
                <w:rFonts w:ascii="宋体" w:eastAsia="宋体" w:hAnsi="宋体" w:hint="eastAsia"/>
                <w:color w:val="000000"/>
                <w:kern w:val="0"/>
                <w:sz w:val="24"/>
              </w:rPr>
              <w:t>、企业通过</w:t>
            </w:r>
            <w:r>
              <w:rPr>
                <w:rFonts w:ascii="宋体" w:eastAsia="宋体" w:hAnsi="宋体"/>
                <w:color w:val="000000"/>
                <w:kern w:val="0"/>
                <w:sz w:val="24"/>
              </w:rPr>
              <w:t>ISO9000/14000/18000</w:t>
            </w:r>
            <w:r>
              <w:rPr>
                <w:rFonts w:ascii="宋体" w:eastAsia="宋体" w:hAnsi="宋体" w:hint="eastAsia"/>
                <w:color w:val="000000"/>
                <w:kern w:val="0"/>
                <w:sz w:val="24"/>
              </w:rPr>
              <w:t>等质量体系认证。</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+2分</w:t>
            </w: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加(  ）分</w:t>
            </w:r>
          </w:p>
        </w:tc>
        <w:tc>
          <w:tcPr>
            <w:tcW w:w="912" w:type="dxa"/>
            <w:vAlign w:val="center"/>
          </w:tcPr>
          <w:p w:rsidR="00E35A89" w:rsidRDefault="00E35A89" w:rsidP="00D24355">
            <w:pPr>
              <w:widowControl/>
              <w:spacing w:line="280" w:lineRule="exact"/>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E35A89" w:rsidTr="00D24355">
        <w:trPr>
          <w:trHeight w:val="736"/>
        </w:trPr>
        <w:tc>
          <w:tcPr>
            <w:tcW w:w="1406" w:type="dxa"/>
            <w:vAlign w:val="center"/>
          </w:tcPr>
          <w:p w:rsidR="00E35A89" w:rsidRDefault="00E35A89"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总计得分</w:t>
            </w:r>
          </w:p>
        </w:tc>
        <w:tc>
          <w:tcPr>
            <w:tcW w:w="1422" w:type="dxa"/>
            <w:vAlign w:val="center"/>
          </w:tcPr>
          <w:p w:rsidR="00E35A89" w:rsidRDefault="00E35A89" w:rsidP="00D24355">
            <w:pPr>
              <w:widowControl/>
              <w:spacing w:line="280" w:lineRule="exact"/>
              <w:jc w:val="left"/>
              <w:rPr>
                <w:rFonts w:ascii="宋体" w:eastAsia="宋体" w:hAnsi="宋体" w:cs="宋体"/>
                <w:b/>
                <w:bCs/>
                <w:kern w:val="0"/>
                <w:sz w:val="24"/>
              </w:rPr>
            </w:pPr>
            <w:r>
              <w:rPr>
                <w:rFonts w:ascii="宋体" w:eastAsia="宋体" w:hAnsi="宋体" w:cs="宋体" w:hint="eastAsia"/>
                <w:b/>
                <w:bCs/>
                <w:kern w:val="0"/>
                <w:sz w:val="24"/>
              </w:rPr>
              <w:t xml:space="preserve">　</w:t>
            </w:r>
          </w:p>
        </w:tc>
        <w:tc>
          <w:tcPr>
            <w:tcW w:w="5372" w:type="dxa"/>
            <w:vAlign w:val="center"/>
          </w:tcPr>
          <w:p w:rsidR="00E35A89" w:rsidRDefault="00E35A89" w:rsidP="00D24355">
            <w:pPr>
              <w:widowControl/>
              <w:spacing w:line="280" w:lineRule="exact"/>
              <w:jc w:val="left"/>
              <w:rPr>
                <w:rFonts w:ascii="宋体" w:eastAsia="宋体" w:hAnsi="宋体" w:cs="宋体"/>
                <w:b/>
                <w:bCs/>
                <w:kern w:val="0"/>
                <w:sz w:val="24"/>
              </w:rPr>
            </w:pPr>
            <w:r>
              <w:rPr>
                <w:rFonts w:ascii="宋体" w:eastAsia="宋体" w:hAnsi="宋体" w:cs="宋体" w:hint="eastAsia"/>
                <w:b/>
                <w:bCs/>
                <w:kern w:val="0"/>
                <w:sz w:val="24"/>
              </w:rPr>
              <w:t xml:space="preserve">　</w:t>
            </w:r>
          </w:p>
        </w:tc>
        <w:tc>
          <w:tcPr>
            <w:tcW w:w="1264" w:type="dxa"/>
            <w:vAlign w:val="center"/>
          </w:tcPr>
          <w:p w:rsidR="00E35A89" w:rsidRDefault="00E35A89" w:rsidP="00D24355">
            <w:pPr>
              <w:widowControl/>
              <w:spacing w:line="280" w:lineRule="exact"/>
              <w:jc w:val="center"/>
              <w:rPr>
                <w:rFonts w:ascii="宋体" w:eastAsia="宋体" w:hAnsi="宋体" w:cs="宋体"/>
                <w:kern w:val="0"/>
                <w:sz w:val="24"/>
              </w:rPr>
            </w:pPr>
          </w:p>
        </w:tc>
        <w:tc>
          <w:tcPr>
            <w:tcW w:w="1315" w:type="dxa"/>
            <w:vAlign w:val="center"/>
          </w:tcPr>
          <w:p w:rsidR="00E35A89" w:rsidRDefault="00E35A89" w:rsidP="00D24355">
            <w:pPr>
              <w:widowControl/>
              <w:spacing w:line="280" w:lineRule="exact"/>
              <w:jc w:val="center"/>
              <w:rPr>
                <w:rFonts w:ascii="宋体" w:eastAsia="宋体" w:hAnsi="宋体" w:cs="宋体"/>
                <w:color w:val="000000"/>
                <w:kern w:val="0"/>
                <w:sz w:val="24"/>
              </w:rPr>
            </w:pPr>
          </w:p>
        </w:tc>
        <w:tc>
          <w:tcPr>
            <w:tcW w:w="1213" w:type="dxa"/>
            <w:vAlign w:val="center"/>
          </w:tcPr>
          <w:p w:rsidR="00E35A89" w:rsidRDefault="00E35A89" w:rsidP="00D24355">
            <w:pPr>
              <w:widowControl/>
              <w:spacing w:line="280" w:lineRule="exact"/>
              <w:jc w:val="center"/>
              <w:rPr>
                <w:rFonts w:ascii="宋体" w:eastAsia="宋体" w:hAnsi="宋体" w:cs="宋体"/>
                <w:color w:val="000000"/>
                <w:kern w:val="0"/>
                <w:sz w:val="24"/>
              </w:rPr>
            </w:pPr>
          </w:p>
        </w:tc>
        <w:tc>
          <w:tcPr>
            <w:tcW w:w="1264" w:type="dxa"/>
            <w:vAlign w:val="center"/>
          </w:tcPr>
          <w:p w:rsidR="00E35A89" w:rsidRDefault="00E35A89"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）分</w:t>
            </w:r>
          </w:p>
        </w:tc>
        <w:tc>
          <w:tcPr>
            <w:tcW w:w="912" w:type="dxa"/>
            <w:vAlign w:val="center"/>
          </w:tcPr>
          <w:p w:rsidR="00E35A89" w:rsidRDefault="00E35A89" w:rsidP="00D24355">
            <w:pPr>
              <w:widowControl/>
              <w:spacing w:line="280" w:lineRule="exact"/>
              <w:jc w:val="left"/>
              <w:rPr>
                <w:rFonts w:ascii="宋体" w:eastAsia="宋体" w:hAnsi="宋体" w:cs="宋体"/>
                <w:color w:val="000000"/>
                <w:kern w:val="0"/>
                <w:sz w:val="24"/>
              </w:rPr>
            </w:pPr>
          </w:p>
        </w:tc>
      </w:tr>
    </w:tbl>
    <w:p w:rsidR="00E35A89" w:rsidRDefault="00E35A89" w:rsidP="00E35A89">
      <w:pPr>
        <w:spacing w:line="800" w:lineRule="exact"/>
        <w:jc w:val="center"/>
        <w:rPr>
          <w:rFonts w:ascii="方正小标宋简体" w:eastAsia="方正小标宋简体" w:hAnsi="仿宋" w:cs="仿宋"/>
          <w:sz w:val="44"/>
          <w:szCs w:val="44"/>
        </w:rPr>
        <w:sectPr w:rsidR="00E35A89" w:rsidSect="004F43D5">
          <w:headerReference w:type="even" r:id="rId7"/>
          <w:headerReference w:type="default" r:id="rId8"/>
          <w:footerReference w:type="even" r:id="rId9"/>
          <w:footerReference w:type="default" r:id="rId10"/>
          <w:pgSz w:w="16838" w:h="11906" w:orient="landscape"/>
          <w:pgMar w:top="1588" w:right="2098" w:bottom="1474" w:left="1588" w:header="851" w:footer="1588" w:gutter="0"/>
          <w:pgNumType w:fmt="numberInDash"/>
          <w:cols w:space="720"/>
          <w:docGrid w:type="lines" w:linePitch="579" w:charSpace="-849"/>
        </w:sectPr>
      </w:pPr>
    </w:p>
    <w:p w:rsidR="00E35A89" w:rsidRPr="00924C38" w:rsidRDefault="00E35A89" w:rsidP="00E35A89">
      <w:pPr>
        <w:spacing w:line="520" w:lineRule="exact"/>
        <w:ind w:firstLineChars="200" w:firstLine="480"/>
        <w:rPr>
          <w:rFonts w:ascii="黑体" w:eastAsia="黑体" w:hAnsi="黑体" w:cs="仿宋"/>
          <w:sz w:val="24"/>
          <w:szCs w:val="24"/>
        </w:rPr>
      </w:pPr>
      <w:r w:rsidRPr="00924C38">
        <w:rPr>
          <w:rFonts w:ascii="黑体" w:eastAsia="黑体" w:hAnsi="黑体" w:cs="仿宋" w:hint="eastAsia"/>
          <w:sz w:val="24"/>
          <w:szCs w:val="24"/>
        </w:rPr>
        <w:lastRenderedPageBreak/>
        <w:t>说明：</w:t>
      </w:r>
    </w:p>
    <w:p w:rsidR="00E35A89" w:rsidRPr="00924C38" w:rsidRDefault="00E35A89" w:rsidP="00E35A89">
      <w:pPr>
        <w:spacing w:line="520" w:lineRule="exact"/>
        <w:ind w:firstLineChars="200" w:firstLine="480"/>
        <w:rPr>
          <w:rFonts w:ascii="仿宋_GB2312" w:hAnsi="宋体" w:cs="仿宋"/>
          <w:sz w:val="24"/>
          <w:szCs w:val="24"/>
        </w:rPr>
      </w:pPr>
      <w:r w:rsidRPr="00924C38">
        <w:rPr>
          <w:rFonts w:ascii="仿宋_GB2312" w:hAnsi="宋体" w:cs="仿宋" w:hint="eastAsia"/>
          <w:sz w:val="24"/>
          <w:szCs w:val="24"/>
        </w:rPr>
        <w:t>1、每项子项指标（X）满分为5分，根据该单位在同一级别、同一类型的参评企业中所处的水平来衡量得分。首先得出该级别、类型的参评单位平均水平数值（A）。当X≥（1+10%）A时，得5分；当（1+5%）A≤X&lt;(1+10%)A时，得4分；当（1-5%）A≤X&lt;(1+5%)A时，得3分；当（1-10%）A≤X&lt;(1-5%)A时，得2分；当（1-15%）A≤X&lt;(1-10%)A时，得1分；当X&lt;(1-15)A时，得0分。（通信工程总包一级、电信工程专业承包一级、系统集成甲级为同一类别；通信工程总包二级、电信工程专业承包二级、系统集成乙级为同一类别；通信工程总包三级、电信工程专业承包三级、系统集成丙级、用户管线为同一类别。）</w:t>
      </w:r>
    </w:p>
    <w:p w:rsidR="00E35A89" w:rsidRPr="00924C38" w:rsidRDefault="00E35A89" w:rsidP="00E35A89">
      <w:pPr>
        <w:spacing w:line="520" w:lineRule="exact"/>
        <w:ind w:firstLineChars="200" w:firstLine="464"/>
        <w:rPr>
          <w:rFonts w:ascii="仿宋_GB2312" w:hAnsi="宋体" w:cs="仿宋"/>
          <w:spacing w:val="-4"/>
          <w:sz w:val="24"/>
          <w:szCs w:val="24"/>
        </w:rPr>
      </w:pPr>
      <w:r w:rsidRPr="00924C38">
        <w:rPr>
          <w:rFonts w:ascii="仿宋_GB2312" w:hAnsi="宋体" w:cs="仿宋" w:hint="eastAsia"/>
          <w:spacing w:val="-4"/>
          <w:sz w:val="24"/>
          <w:szCs w:val="24"/>
        </w:rPr>
        <w:t>2、认为完全符合对应条件的得满分，部分符合对应条件酌情得分。</w:t>
      </w:r>
    </w:p>
    <w:p w:rsidR="00E35A89" w:rsidRPr="00924C38" w:rsidRDefault="00E35A89" w:rsidP="00E35A89">
      <w:pPr>
        <w:spacing w:line="520" w:lineRule="exact"/>
        <w:ind w:firstLineChars="200" w:firstLine="480"/>
        <w:rPr>
          <w:rFonts w:ascii="仿宋_GB2312" w:hAnsi="宋体" w:cs="仿宋"/>
          <w:sz w:val="24"/>
          <w:szCs w:val="24"/>
        </w:rPr>
      </w:pPr>
      <w:r w:rsidRPr="00924C38">
        <w:rPr>
          <w:rFonts w:ascii="仿宋_GB2312" w:hAnsi="宋体" w:cs="仿宋" w:hint="eastAsia"/>
          <w:sz w:val="24"/>
          <w:szCs w:val="24"/>
        </w:rPr>
        <w:t>3、每项加1分。本项指标可得总分最高不超过6分。</w:t>
      </w:r>
    </w:p>
    <w:p w:rsidR="00E35A89" w:rsidRPr="00924C38" w:rsidRDefault="00E35A89" w:rsidP="00E35A89">
      <w:pPr>
        <w:spacing w:line="800" w:lineRule="exact"/>
        <w:jc w:val="center"/>
        <w:rPr>
          <w:rFonts w:ascii="仿宋_GB2312" w:hAnsi="仿宋" w:cs="仿宋"/>
        </w:rPr>
      </w:pPr>
    </w:p>
    <w:p w:rsidR="00E35A89" w:rsidRPr="00924C38" w:rsidRDefault="00E35A89" w:rsidP="00E35A89">
      <w:pPr>
        <w:spacing w:line="800" w:lineRule="exact"/>
        <w:jc w:val="center"/>
        <w:rPr>
          <w:rFonts w:ascii="仿宋_GB2312" w:hAnsi="仿宋" w:cs="仿宋"/>
        </w:rPr>
      </w:pPr>
    </w:p>
    <w:p w:rsidR="00E35A89" w:rsidRPr="00924C38" w:rsidRDefault="00E35A89" w:rsidP="00E35A89">
      <w:pPr>
        <w:spacing w:line="800" w:lineRule="exact"/>
        <w:jc w:val="center"/>
        <w:rPr>
          <w:rFonts w:ascii="仿宋_GB2312" w:hAnsi="仿宋" w:cs="仿宋"/>
        </w:rPr>
      </w:pPr>
    </w:p>
    <w:p w:rsidR="00E35A89" w:rsidRPr="00924C38" w:rsidRDefault="00E35A89" w:rsidP="00E35A89">
      <w:pPr>
        <w:spacing w:line="800" w:lineRule="exact"/>
        <w:jc w:val="center"/>
        <w:rPr>
          <w:rFonts w:ascii="仿宋_GB2312" w:hAnsi="仿宋" w:cs="仿宋"/>
        </w:rPr>
      </w:pPr>
    </w:p>
    <w:p w:rsidR="00E35A89" w:rsidRPr="00924C38" w:rsidRDefault="00E35A89" w:rsidP="00E35A89">
      <w:pPr>
        <w:spacing w:line="800" w:lineRule="exact"/>
        <w:jc w:val="center"/>
        <w:rPr>
          <w:rFonts w:ascii="仿宋_GB2312" w:hAnsi="仿宋" w:cs="仿宋"/>
        </w:rPr>
      </w:pPr>
    </w:p>
    <w:p w:rsidR="00E35A89" w:rsidRPr="00924C38" w:rsidRDefault="00E35A89" w:rsidP="00E35A89">
      <w:pPr>
        <w:spacing w:line="800" w:lineRule="exact"/>
        <w:jc w:val="center"/>
        <w:rPr>
          <w:rFonts w:ascii="仿宋_GB2312" w:hAnsi="仿宋" w:cs="仿宋"/>
        </w:rPr>
      </w:pPr>
    </w:p>
    <w:p w:rsidR="007B79C4" w:rsidRPr="00E35A89" w:rsidRDefault="007B79C4"/>
    <w:sectPr w:rsidR="007B79C4" w:rsidRPr="00E35A89" w:rsidSect="00036BEF">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CDF" w:rsidRDefault="00AC3CDF" w:rsidP="004F43D5">
      <w:r>
        <w:separator/>
      </w:r>
    </w:p>
  </w:endnote>
  <w:endnote w:type="continuationSeparator" w:id="1">
    <w:p w:rsidR="00AC3CDF" w:rsidRDefault="00AC3CDF" w:rsidP="004F43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4399"/>
      <w:docPartObj>
        <w:docPartGallery w:val="Page Numbers (Bottom of Page)"/>
        <w:docPartUnique/>
      </w:docPartObj>
    </w:sdtPr>
    <w:sdtContent>
      <w:p w:rsidR="004F43D5" w:rsidRDefault="004F43D5">
        <w:pPr>
          <w:pStyle w:val="a4"/>
        </w:pPr>
        <w:r w:rsidRPr="004F43D5">
          <w:rPr>
            <w:rFonts w:asciiTheme="minorEastAsia" w:eastAsiaTheme="minorEastAsia" w:hAnsiTheme="minorEastAsia"/>
            <w:sz w:val="28"/>
            <w:szCs w:val="28"/>
          </w:rPr>
          <w:fldChar w:fldCharType="begin"/>
        </w:r>
        <w:r w:rsidRPr="004F43D5">
          <w:rPr>
            <w:rFonts w:asciiTheme="minorEastAsia" w:eastAsiaTheme="minorEastAsia" w:hAnsiTheme="minorEastAsia"/>
            <w:sz w:val="28"/>
            <w:szCs w:val="28"/>
          </w:rPr>
          <w:instrText xml:space="preserve"> PAGE   \* MERGEFORMAT </w:instrText>
        </w:r>
        <w:r w:rsidRPr="004F43D5">
          <w:rPr>
            <w:rFonts w:asciiTheme="minorEastAsia" w:eastAsiaTheme="minorEastAsia" w:hAnsiTheme="minorEastAsia"/>
            <w:sz w:val="28"/>
            <w:szCs w:val="28"/>
          </w:rPr>
          <w:fldChar w:fldCharType="separate"/>
        </w:r>
        <w:r w:rsidR="00036BEF" w:rsidRPr="00036BEF">
          <w:rPr>
            <w:rFonts w:asciiTheme="minorEastAsia" w:eastAsiaTheme="minorEastAsia" w:hAnsiTheme="minorEastAsia"/>
            <w:noProof/>
            <w:sz w:val="28"/>
            <w:szCs w:val="28"/>
            <w:lang w:val="zh-CN"/>
          </w:rPr>
          <w:t>-</w:t>
        </w:r>
        <w:r w:rsidR="00036BEF">
          <w:rPr>
            <w:rFonts w:asciiTheme="minorEastAsia" w:eastAsiaTheme="minorEastAsia" w:hAnsiTheme="minorEastAsia"/>
            <w:noProof/>
            <w:sz w:val="28"/>
            <w:szCs w:val="28"/>
          </w:rPr>
          <w:t xml:space="preserve"> 2 -</w:t>
        </w:r>
        <w:r w:rsidRPr="004F43D5">
          <w:rPr>
            <w:rFonts w:asciiTheme="minorEastAsia" w:eastAsia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4392"/>
      <w:docPartObj>
        <w:docPartGallery w:val="Page Numbers (Bottom of Page)"/>
        <w:docPartUnique/>
      </w:docPartObj>
    </w:sdtPr>
    <w:sdtEndPr>
      <w:rPr>
        <w:rFonts w:asciiTheme="minorEastAsia" w:eastAsiaTheme="minorEastAsia" w:hAnsiTheme="minorEastAsia"/>
        <w:sz w:val="28"/>
        <w:szCs w:val="28"/>
      </w:rPr>
    </w:sdtEndPr>
    <w:sdtContent>
      <w:p w:rsidR="004F43D5" w:rsidRDefault="004F43D5" w:rsidP="004F43D5">
        <w:pPr>
          <w:pStyle w:val="a4"/>
          <w:jc w:val="right"/>
        </w:pPr>
        <w:r w:rsidRPr="004F43D5">
          <w:rPr>
            <w:rFonts w:asciiTheme="minorEastAsia" w:eastAsiaTheme="minorEastAsia" w:hAnsiTheme="minorEastAsia"/>
            <w:sz w:val="28"/>
            <w:szCs w:val="28"/>
          </w:rPr>
          <w:fldChar w:fldCharType="begin"/>
        </w:r>
        <w:r w:rsidRPr="004F43D5">
          <w:rPr>
            <w:rFonts w:asciiTheme="minorEastAsia" w:eastAsiaTheme="minorEastAsia" w:hAnsiTheme="minorEastAsia"/>
            <w:sz w:val="28"/>
            <w:szCs w:val="28"/>
          </w:rPr>
          <w:instrText xml:space="preserve"> PAGE   \* MERGEFORMAT </w:instrText>
        </w:r>
        <w:r w:rsidRPr="004F43D5">
          <w:rPr>
            <w:rFonts w:asciiTheme="minorEastAsia" w:eastAsiaTheme="minorEastAsia" w:hAnsiTheme="minorEastAsia"/>
            <w:sz w:val="28"/>
            <w:szCs w:val="28"/>
          </w:rPr>
          <w:fldChar w:fldCharType="separate"/>
        </w:r>
        <w:r w:rsidR="00036BEF" w:rsidRPr="00036BEF">
          <w:rPr>
            <w:rFonts w:asciiTheme="minorEastAsia" w:eastAsiaTheme="minorEastAsia" w:hAnsiTheme="minorEastAsia"/>
            <w:noProof/>
            <w:sz w:val="28"/>
            <w:szCs w:val="28"/>
            <w:lang w:val="zh-CN"/>
          </w:rPr>
          <w:t>-</w:t>
        </w:r>
        <w:r w:rsidR="00036BEF">
          <w:rPr>
            <w:rFonts w:asciiTheme="minorEastAsia" w:eastAsiaTheme="minorEastAsia" w:hAnsiTheme="minorEastAsia"/>
            <w:noProof/>
            <w:sz w:val="28"/>
            <w:szCs w:val="28"/>
          </w:rPr>
          <w:t xml:space="preserve"> 3 -</w:t>
        </w:r>
        <w:r w:rsidRPr="004F43D5">
          <w:rPr>
            <w:rFonts w:asciiTheme="minorEastAsia" w:eastAsia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CDF" w:rsidRDefault="00AC3CDF" w:rsidP="004F43D5">
      <w:r>
        <w:separator/>
      </w:r>
    </w:p>
  </w:footnote>
  <w:footnote w:type="continuationSeparator" w:id="1">
    <w:p w:rsidR="00AC3CDF" w:rsidRDefault="00AC3CDF" w:rsidP="004F4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3D5" w:rsidRDefault="004F43D5" w:rsidP="004F43D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3D5" w:rsidRDefault="004F43D5" w:rsidP="004F43D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5A89"/>
    <w:rsid w:val="00036BEF"/>
    <w:rsid w:val="004F43D5"/>
    <w:rsid w:val="007B79C4"/>
    <w:rsid w:val="00AC3CDF"/>
    <w:rsid w:val="00E35A89"/>
    <w:rsid w:val="00E93F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A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43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43D5"/>
    <w:rPr>
      <w:rFonts w:ascii="Times New Roman" w:eastAsia="仿宋_GB2312" w:hAnsi="Times New Roman" w:cs="Times New Roman"/>
      <w:sz w:val="18"/>
      <w:szCs w:val="18"/>
    </w:rPr>
  </w:style>
  <w:style w:type="paragraph" w:styleId="a4">
    <w:name w:val="footer"/>
    <w:basedOn w:val="a"/>
    <w:link w:val="Char0"/>
    <w:uiPriority w:val="99"/>
    <w:unhideWhenUsed/>
    <w:rsid w:val="004F43D5"/>
    <w:pPr>
      <w:tabs>
        <w:tab w:val="center" w:pos="4153"/>
        <w:tab w:val="right" w:pos="8306"/>
      </w:tabs>
      <w:snapToGrid w:val="0"/>
      <w:jc w:val="left"/>
    </w:pPr>
    <w:rPr>
      <w:sz w:val="18"/>
      <w:szCs w:val="18"/>
    </w:rPr>
  </w:style>
  <w:style w:type="character" w:customStyle="1" w:styleId="Char0">
    <w:name w:val="页脚 Char"/>
    <w:basedOn w:val="a0"/>
    <w:link w:val="a4"/>
    <w:uiPriority w:val="99"/>
    <w:rsid w:val="004F43D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81A5-FB04-485B-958E-36C24120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2015-06-29T07:20:00Z</dcterms:created>
  <dcterms:modified xsi:type="dcterms:W3CDTF">2015-06-29T07:44:00Z</dcterms:modified>
</cp:coreProperties>
</file>